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94022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-3"/>
          <w:sz w:val="22"/>
          <w:szCs w:val="22"/>
        </w:rPr>
        <w:t xml:space="preserve">At the 2014 annual International Labour Conference, Australia chaired the Committee on Forced Labour and were active </w:t>
      </w:r>
      <w:r w:rsidR="005C39D4">
        <w:rPr>
          <w:rFonts w:ascii="Arial" w:hAnsi="Arial" w:cs="Arial"/>
          <w:spacing w:val="-3"/>
          <w:sz w:val="22"/>
          <w:szCs w:val="22"/>
        </w:rPr>
        <w:t>and</w:t>
      </w:r>
      <w:r>
        <w:rPr>
          <w:rFonts w:ascii="Arial" w:hAnsi="Arial" w:cs="Arial"/>
          <w:spacing w:val="-3"/>
          <w:sz w:val="22"/>
          <w:szCs w:val="22"/>
        </w:rPr>
        <w:t xml:space="preserve"> influential participants in the drafting process of the 2014 Protocol to the International Labour Organisation (ILO) </w:t>
      </w:r>
      <w:r w:rsidRPr="00776DBD">
        <w:rPr>
          <w:rFonts w:ascii="Arial" w:hAnsi="Arial" w:cs="Arial"/>
          <w:i/>
          <w:spacing w:val="-3"/>
          <w:sz w:val="22"/>
          <w:szCs w:val="22"/>
        </w:rPr>
        <w:t>Forced Labour Convention, 1930</w:t>
      </w:r>
      <w:r>
        <w:rPr>
          <w:rFonts w:ascii="Arial" w:hAnsi="Arial" w:cs="Arial"/>
          <w:spacing w:val="-3"/>
          <w:sz w:val="22"/>
          <w:szCs w:val="22"/>
        </w:rPr>
        <w:t xml:space="preserve"> (No. 29).</w:t>
      </w:r>
    </w:p>
    <w:p w:rsidR="00142DF6" w:rsidRPr="0004522D" w:rsidRDefault="0054085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42DF6">
        <w:rPr>
          <w:rFonts w:ascii="Arial" w:hAnsi="Arial" w:cs="Arial"/>
          <w:sz w:val="22"/>
          <w:szCs w:val="22"/>
        </w:rPr>
        <w:t xml:space="preserve">purpose of the </w:t>
      </w:r>
      <w:r>
        <w:rPr>
          <w:rFonts w:ascii="Arial" w:hAnsi="Arial" w:cs="Arial"/>
          <w:sz w:val="22"/>
          <w:szCs w:val="22"/>
        </w:rPr>
        <w:t xml:space="preserve">Protocol </w:t>
      </w:r>
      <w:r w:rsidR="00142DF6">
        <w:rPr>
          <w:rFonts w:ascii="Arial" w:hAnsi="Arial" w:cs="Arial"/>
          <w:sz w:val="22"/>
          <w:szCs w:val="22"/>
        </w:rPr>
        <w:t xml:space="preserve">is to </w:t>
      </w:r>
      <w:r>
        <w:rPr>
          <w:rFonts w:ascii="Arial" w:hAnsi="Arial" w:cs="Arial"/>
          <w:spacing w:val="-4"/>
          <w:sz w:val="22"/>
          <w:szCs w:val="22"/>
        </w:rPr>
        <w:t xml:space="preserve">address </w:t>
      </w:r>
      <w:r>
        <w:rPr>
          <w:rFonts w:ascii="Arial" w:hAnsi="Arial" w:cs="Arial"/>
          <w:spacing w:val="-3"/>
          <w:sz w:val="22"/>
          <w:szCs w:val="22"/>
        </w:rPr>
        <w:t xml:space="preserve">gaps </w:t>
      </w: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pacing w:val="-4"/>
          <w:sz w:val="22"/>
          <w:szCs w:val="22"/>
        </w:rPr>
        <w:t xml:space="preserve">implementation </w:t>
      </w:r>
      <w:r>
        <w:rPr>
          <w:rFonts w:ascii="Arial" w:hAnsi="Arial" w:cs="Arial"/>
          <w:spacing w:val="-3"/>
          <w:sz w:val="22"/>
          <w:szCs w:val="22"/>
        </w:rPr>
        <w:t>of</w:t>
      </w:r>
      <w:r w:rsidR="002D1FFF">
        <w:rPr>
          <w:rFonts w:ascii="Arial" w:hAnsi="Arial" w:cs="Arial"/>
          <w:spacing w:val="-3"/>
          <w:sz w:val="22"/>
          <w:szCs w:val="22"/>
        </w:rPr>
        <w:t xml:space="preserve"> the </w:t>
      </w:r>
      <w:r w:rsidR="007916D6">
        <w:rPr>
          <w:rFonts w:ascii="Arial" w:hAnsi="Arial" w:cs="Arial"/>
          <w:i/>
          <w:spacing w:val="-3"/>
          <w:sz w:val="22"/>
          <w:szCs w:val="22"/>
        </w:rPr>
        <w:t>Forced Labour Convention, 1930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pacing w:val="-3"/>
          <w:sz w:val="22"/>
          <w:szCs w:val="22"/>
        </w:rPr>
        <w:t xml:space="preserve">reaffirms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pacing w:val="-4"/>
          <w:sz w:val="22"/>
          <w:szCs w:val="22"/>
        </w:rPr>
        <w:t xml:space="preserve">obligation </w:t>
      </w:r>
      <w:r>
        <w:rPr>
          <w:rFonts w:ascii="Arial" w:hAnsi="Arial" w:cs="Arial"/>
          <w:spacing w:val="-3"/>
          <w:sz w:val="22"/>
          <w:szCs w:val="22"/>
        </w:rPr>
        <w:t xml:space="preserve">of </w:t>
      </w:r>
      <w:r>
        <w:rPr>
          <w:rFonts w:ascii="Arial" w:hAnsi="Arial" w:cs="Arial"/>
          <w:spacing w:val="-4"/>
          <w:sz w:val="22"/>
          <w:szCs w:val="22"/>
        </w:rPr>
        <w:t xml:space="preserve">member States </w:t>
      </w:r>
      <w:r w:rsidR="00142DF6">
        <w:rPr>
          <w:rFonts w:ascii="Arial" w:hAnsi="Arial" w:cs="Arial"/>
          <w:spacing w:val="-4"/>
          <w:sz w:val="22"/>
          <w:szCs w:val="22"/>
        </w:rPr>
        <w:t xml:space="preserve">of the ILO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pacing w:val="-3"/>
          <w:sz w:val="22"/>
          <w:szCs w:val="22"/>
        </w:rPr>
        <w:t xml:space="preserve">take </w:t>
      </w:r>
      <w:r>
        <w:rPr>
          <w:rFonts w:ascii="Arial" w:hAnsi="Arial" w:cs="Arial"/>
          <w:spacing w:val="-4"/>
          <w:sz w:val="22"/>
          <w:szCs w:val="22"/>
        </w:rPr>
        <w:t xml:space="preserve">effective </w:t>
      </w:r>
      <w:r>
        <w:rPr>
          <w:rFonts w:ascii="Arial" w:hAnsi="Arial" w:cs="Arial"/>
          <w:spacing w:val="-3"/>
          <w:sz w:val="22"/>
          <w:szCs w:val="22"/>
        </w:rPr>
        <w:t xml:space="preserve">measures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pacing w:val="-4"/>
          <w:sz w:val="22"/>
          <w:szCs w:val="22"/>
        </w:rPr>
        <w:t xml:space="preserve">prevent </w:t>
      </w:r>
      <w:r>
        <w:rPr>
          <w:rFonts w:ascii="Arial" w:hAnsi="Arial" w:cs="Arial"/>
          <w:spacing w:val="-3"/>
          <w:sz w:val="22"/>
          <w:szCs w:val="22"/>
        </w:rPr>
        <w:t xml:space="preserve">and </w:t>
      </w:r>
      <w:r>
        <w:rPr>
          <w:rFonts w:ascii="Arial" w:hAnsi="Arial" w:cs="Arial"/>
          <w:spacing w:val="-4"/>
          <w:sz w:val="22"/>
          <w:szCs w:val="22"/>
        </w:rPr>
        <w:t xml:space="preserve">eliminate </w:t>
      </w:r>
      <w:r>
        <w:rPr>
          <w:rFonts w:ascii="Arial" w:hAnsi="Arial" w:cs="Arial"/>
          <w:spacing w:val="-3"/>
          <w:sz w:val="22"/>
          <w:szCs w:val="22"/>
        </w:rPr>
        <w:t xml:space="preserve">all </w:t>
      </w:r>
      <w:r>
        <w:rPr>
          <w:rFonts w:ascii="Arial" w:hAnsi="Arial" w:cs="Arial"/>
          <w:spacing w:val="-4"/>
          <w:sz w:val="22"/>
          <w:szCs w:val="22"/>
        </w:rPr>
        <w:t xml:space="preserve">forms </w:t>
      </w:r>
      <w:r>
        <w:rPr>
          <w:rFonts w:ascii="Arial" w:hAnsi="Arial" w:cs="Arial"/>
          <w:spacing w:val="-3"/>
          <w:sz w:val="22"/>
          <w:szCs w:val="22"/>
        </w:rPr>
        <w:t xml:space="preserve">of forced </w:t>
      </w:r>
      <w:r>
        <w:rPr>
          <w:rFonts w:ascii="Arial" w:hAnsi="Arial" w:cs="Arial"/>
          <w:spacing w:val="-4"/>
          <w:sz w:val="22"/>
          <w:szCs w:val="22"/>
        </w:rPr>
        <w:t xml:space="preserve">labour. </w:t>
      </w:r>
    </w:p>
    <w:p w:rsidR="00D6589B" w:rsidRPr="00540859" w:rsidRDefault="0054085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Australian ratification will </w:t>
      </w:r>
      <w:r>
        <w:rPr>
          <w:rFonts w:ascii="Arial" w:hAnsi="Arial" w:cs="Arial"/>
          <w:spacing w:val="-3"/>
          <w:sz w:val="22"/>
          <w:szCs w:val="22"/>
        </w:rPr>
        <w:t xml:space="preserve">ensure </w:t>
      </w:r>
      <w:r>
        <w:rPr>
          <w:rFonts w:ascii="Arial" w:hAnsi="Arial" w:cs="Arial"/>
          <w:spacing w:val="-4"/>
          <w:sz w:val="22"/>
          <w:szCs w:val="22"/>
        </w:rPr>
        <w:t xml:space="preserve">that Australia </w:t>
      </w:r>
      <w:r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pacing w:val="-4"/>
          <w:sz w:val="22"/>
          <w:szCs w:val="22"/>
        </w:rPr>
        <w:t xml:space="preserve">making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3"/>
          <w:sz w:val="22"/>
          <w:szCs w:val="22"/>
        </w:rPr>
        <w:t xml:space="preserve">firm </w:t>
      </w:r>
      <w:r>
        <w:rPr>
          <w:rFonts w:ascii="Arial" w:hAnsi="Arial" w:cs="Arial"/>
          <w:spacing w:val="-4"/>
          <w:sz w:val="22"/>
          <w:szCs w:val="22"/>
        </w:rPr>
        <w:t xml:space="preserve">commitment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pacing w:val="-4"/>
          <w:sz w:val="22"/>
          <w:szCs w:val="22"/>
        </w:rPr>
        <w:t xml:space="preserve">support </w:t>
      </w:r>
      <w:r>
        <w:rPr>
          <w:rFonts w:ascii="Arial" w:hAnsi="Arial" w:cs="Arial"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spacing w:val="-4"/>
          <w:sz w:val="22"/>
          <w:szCs w:val="22"/>
        </w:rPr>
        <w:t xml:space="preserve">elimination </w:t>
      </w:r>
      <w:r>
        <w:rPr>
          <w:rFonts w:ascii="Arial" w:hAnsi="Arial" w:cs="Arial"/>
          <w:spacing w:val="-3"/>
          <w:sz w:val="22"/>
          <w:szCs w:val="22"/>
        </w:rPr>
        <w:t xml:space="preserve">of </w:t>
      </w:r>
      <w:r>
        <w:rPr>
          <w:rFonts w:ascii="Arial" w:hAnsi="Arial" w:cs="Arial"/>
          <w:spacing w:val="-4"/>
          <w:sz w:val="22"/>
          <w:szCs w:val="22"/>
        </w:rPr>
        <w:t xml:space="preserve">contemporary </w:t>
      </w:r>
      <w:r>
        <w:rPr>
          <w:rFonts w:ascii="Arial" w:hAnsi="Arial" w:cs="Arial"/>
          <w:spacing w:val="-3"/>
          <w:sz w:val="22"/>
          <w:szCs w:val="22"/>
        </w:rPr>
        <w:t>forms of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slavery.</w:t>
      </w:r>
    </w:p>
    <w:p w:rsidR="00540859" w:rsidRPr="00540859" w:rsidRDefault="0054085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Australia’s treaty-making </w:t>
      </w:r>
      <w:r>
        <w:rPr>
          <w:rFonts w:ascii="Arial" w:hAnsi="Arial" w:cs="Arial"/>
          <w:spacing w:val="-3"/>
          <w:sz w:val="22"/>
          <w:szCs w:val="22"/>
        </w:rPr>
        <w:t xml:space="preserve">policy </w:t>
      </w:r>
      <w:r>
        <w:rPr>
          <w:rFonts w:ascii="Arial" w:hAnsi="Arial" w:cs="Arial"/>
          <w:spacing w:val="-4"/>
          <w:sz w:val="22"/>
          <w:szCs w:val="22"/>
        </w:rPr>
        <w:t xml:space="preserve">provides that ratification </w:t>
      </w:r>
      <w:r>
        <w:rPr>
          <w:rFonts w:ascii="Arial" w:hAnsi="Arial" w:cs="Arial"/>
          <w:spacing w:val="-3"/>
          <w:sz w:val="22"/>
          <w:szCs w:val="22"/>
        </w:rPr>
        <w:t xml:space="preserve">does not </w:t>
      </w:r>
      <w:r>
        <w:rPr>
          <w:rFonts w:ascii="Arial" w:hAnsi="Arial" w:cs="Arial"/>
          <w:spacing w:val="-4"/>
          <w:sz w:val="22"/>
          <w:szCs w:val="22"/>
        </w:rPr>
        <w:t xml:space="preserve">occur </w:t>
      </w:r>
      <w:r>
        <w:rPr>
          <w:rFonts w:ascii="Arial" w:hAnsi="Arial" w:cs="Arial"/>
          <w:spacing w:val="-3"/>
          <w:sz w:val="22"/>
          <w:szCs w:val="22"/>
        </w:rPr>
        <w:t xml:space="preserve">until </w:t>
      </w:r>
      <w:r>
        <w:rPr>
          <w:rFonts w:ascii="Arial" w:hAnsi="Arial" w:cs="Arial"/>
          <w:spacing w:val="-4"/>
          <w:sz w:val="22"/>
          <w:szCs w:val="22"/>
        </w:rPr>
        <w:t xml:space="preserve">compliance </w:t>
      </w:r>
      <w:r>
        <w:rPr>
          <w:rFonts w:ascii="Arial" w:hAnsi="Arial" w:cs="Arial"/>
          <w:spacing w:val="-3"/>
          <w:sz w:val="22"/>
          <w:szCs w:val="22"/>
        </w:rPr>
        <w:t xml:space="preserve">is achieved </w:t>
      </w:r>
      <w:r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pacing w:val="-3"/>
          <w:sz w:val="22"/>
          <w:szCs w:val="22"/>
        </w:rPr>
        <w:t xml:space="preserve">all State and Territory </w:t>
      </w:r>
      <w:r>
        <w:rPr>
          <w:rFonts w:ascii="Arial" w:hAnsi="Arial" w:cs="Arial"/>
          <w:spacing w:val="-4"/>
          <w:sz w:val="22"/>
          <w:szCs w:val="22"/>
        </w:rPr>
        <w:t xml:space="preserve">Governments </w:t>
      </w:r>
      <w:r>
        <w:rPr>
          <w:rFonts w:ascii="Arial" w:hAnsi="Arial" w:cs="Arial"/>
          <w:spacing w:val="-3"/>
          <w:sz w:val="22"/>
          <w:szCs w:val="22"/>
        </w:rPr>
        <w:t xml:space="preserve">and that all </w:t>
      </w:r>
      <w:r>
        <w:rPr>
          <w:rFonts w:ascii="Arial" w:hAnsi="Arial" w:cs="Arial"/>
          <w:spacing w:val="-4"/>
          <w:sz w:val="22"/>
          <w:szCs w:val="22"/>
        </w:rPr>
        <w:t xml:space="preserve">jurisdictions have </w:t>
      </w:r>
      <w:r>
        <w:rPr>
          <w:rFonts w:ascii="Arial" w:hAnsi="Arial" w:cs="Arial"/>
          <w:spacing w:val="-3"/>
          <w:sz w:val="22"/>
          <w:szCs w:val="22"/>
        </w:rPr>
        <w:t xml:space="preserve">formally </w:t>
      </w:r>
      <w:r>
        <w:rPr>
          <w:rFonts w:ascii="Arial" w:hAnsi="Arial" w:cs="Arial"/>
          <w:spacing w:val="-4"/>
          <w:sz w:val="22"/>
          <w:szCs w:val="22"/>
        </w:rPr>
        <w:t xml:space="preserve">agreed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ratification.</w:t>
      </w:r>
    </w:p>
    <w:p w:rsidR="00540859" w:rsidRPr="00A527A5" w:rsidRDefault="0054085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Queensland’s </w:t>
      </w:r>
      <w:r>
        <w:rPr>
          <w:rFonts w:ascii="Arial" w:hAnsi="Arial" w:cs="Arial"/>
          <w:spacing w:val="-3"/>
          <w:sz w:val="22"/>
          <w:szCs w:val="22"/>
        </w:rPr>
        <w:t xml:space="preserve">law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pacing w:val="-3"/>
          <w:sz w:val="22"/>
          <w:szCs w:val="22"/>
        </w:rPr>
        <w:t xml:space="preserve">practice </w:t>
      </w:r>
      <w:r>
        <w:rPr>
          <w:rFonts w:ascii="Arial" w:hAnsi="Arial" w:cs="Arial"/>
          <w:spacing w:val="-4"/>
          <w:sz w:val="22"/>
          <w:szCs w:val="22"/>
        </w:rPr>
        <w:t xml:space="preserve">achieve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4"/>
          <w:sz w:val="22"/>
          <w:szCs w:val="22"/>
        </w:rPr>
        <w:t xml:space="preserve">satisfactory </w:t>
      </w:r>
      <w:r>
        <w:rPr>
          <w:rFonts w:ascii="Arial" w:hAnsi="Arial" w:cs="Arial"/>
          <w:spacing w:val="-3"/>
          <w:sz w:val="22"/>
          <w:szCs w:val="22"/>
        </w:rPr>
        <w:t xml:space="preserve">level </w:t>
      </w:r>
      <w:r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pacing w:val="-4"/>
          <w:sz w:val="22"/>
          <w:szCs w:val="22"/>
        </w:rPr>
        <w:t xml:space="preserve">compliance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pacing w:val="-3"/>
          <w:sz w:val="22"/>
          <w:szCs w:val="22"/>
        </w:rPr>
        <w:t xml:space="preserve">formally agree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pacing w:val="-4"/>
          <w:sz w:val="22"/>
          <w:szCs w:val="22"/>
        </w:rPr>
        <w:t xml:space="preserve">ratification </w:t>
      </w:r>
      <w:r>
        <w:rPr>
          <w:rFonts w:ascii="Arial" w:hAnsi="Arial" w:cs="Arial"/>
          <w:spacing w:val="-3"/>
          <w:sz w:val="22"/>
          <w:szCs w:val="22"/>
        </w:rPr>
        <w:t>of the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Protocol.</w:t>
      </w:r>
    </w:p>
    <w:p w:rsidR="00877238" w:rsidRPr="00A12FFC" w:rsidRDefault="00540859" w:rsidP="002F483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5408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Queensland Government’s agreement to </w:t>
      </w:r>
      <w:r w:rsidR="0004522D">
        <w:rPr>
          <w:rFonts w:ascii="Arial" w:hAnsi="Arial" w:cs="Arial"/>
          <w:sz w:val="22"/>
          <w:szCs w:val="22"/>
        </w:rPr>
        <w:t>ratification of the 2014 Protocol to the International Labour Organisation Forced Labour Convention, 1930 (No. 29)</w:t>
      </w:r>
      <w:r>
        <w:rPr>
          <w:rFonts w:ascii="Arial" w:hAnsi="Arial" w:cs="Arial"/>
          <w:sz w:val="22"/>
          <w:szCs w:val="22"/>
        </w:rPr>
        <w:t>.</w:t>
      </w:r>
    </w:p>
    <w:p w:rsidR="00A12FFC" w:rsidRPr="00D0370B" w:rsidRDefault="00A12FFC" w:rsidP="00D0370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0370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12FFC" w:rsidRPr="002F483D" w:rsidRDefault="00562CC9" w:rsidP="00D0370B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D0370B" w:rsidRPr="009F063C">
          <w:rPr>
            <w:rStyle w:val="Hyperlink"/>
            <w:rFonts w:ascii="Arial" w:hAnsi="Arial" w:cs="Arial"/>
            <w:sz w:val="22"/>
            <w:szCs w:val="22"/>
          </w:rPr>
          <w:t>2014 Protocol to the International Labour Organisation Forced Labour Convention, 1930 (No. 29)</w:t>
        </w:r>
      </w:hyperlink>
    </w:p>
    <w:sectPr w:rsidR="00A12FFC" w:rsidRPr="002F483D" w:rsidSect="007A308B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8C" w:rsidRDefault="00C0408C" w:rsidP="00D6589B">
      <w:r>
        <w:separator/>
      </w:r>
    </w:p>
  </w:endnote>
  <w:endnote w:type="continuationSeparator" w:id="0">
    <w:p w:rsidR="00C0408C" w:rsidRDefault="00C0408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8C" w:rsidRDefault="00C0408C" w:rsidP="00D6589B">
      <w:r>
        <w:separator/>
      </w:r>
    </w:p>
  </w:footnote>
  <w:footnote w:type="continuationSeparator" w:id="0">
    <w:p w:rsidR="00C0408C" w:rsidRDefault="00C0408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40859">
      <w:rPr>
        <w:rFonts w:ascii="Arial" w:hAnsi="Arial" w:cs="Arial"/>
        <w:b/>
        <w:color w:val="auto"/>
        <w:sz w:val="22"/>
        <w:szCs w:val="22"/>
        <w:lang w:eastAsia="en-US"/>
      </w:rPr>
      <w:t>July 2016</w:t>
    </w:r>
  </w:p>
  <w:p w:rsidR="00540859" w:rsidRPr="00540859" w:rsidRDefault="00540859" w:rsidP="004A6530">
    <w:pPr>
      <w:pStyle w:val="BodyText"/>
      <w:kinsoku w:val="0"/>
      <w:overflowPunct w:val="0"/>
      <w:spacing w:before="103"/>
      <w:ind w:left="0" w:right="-1" w:firstLine="0"/>
      <w:jc w:val="both"/>
    </w:pPr>
    <w:r w:rsidRPr="00540859">
      <w:rPr>
        <w:b/>
        <w:bCs/>
        <w:u w:val="thick"/>
      </w:rPr>
      <w:t xml:space="preserve">Agreement to ratify 2014 Protocol to the International Labour Organisation (ILO) </w:t>
    </w:r>
    <w:r w:rsidRPr="00540859">
      <w:rPr>
        <w:b/>
        <w:bCs/>
        <w:i/>
        <w:iCs/>
        <w:u w:val="thick"/>
      </w:rPr>
      <w:t xml:space="preserve">Forced Labour Convention, 1930 </w:t>
    </w:r>
    <w:r w:rsidRPr="00540859">
      <w:rPr>
        <w:b/>
        <w:bCs/>
        <w:u w:val="thick"/>
      </w:rPr>
      <w:t>(No.</w:t>
    </w:r>
    <w:r w:rsidRPr="00540859">
      <w:rPr>
        <w:b/>
        <w:bCs/>
        <w:spacing w:val="-8"/>
        <w:u w:val="thick"/>
      </w:rPr>
      <w:t xml:space="preserve"> </w:t>
    </w:r>
    <w:r w:rsidRPr="00540859">
      <w:rPr>
        <w:b/>
        <w:bCs/>
        <w:u w:val="thick"/>
      </w:rPr>
      <w:t>29)</w:t>
    </w:r>
  </w:p>
  <w:p w:rsidR="00CB1501" w:rsidRPr="00540859" w:rsidRDefault="00540859" w:rsidP="004A6530">
    <w:pPr>
      <w:pStyle w:val="BodyText"/>
      <w:kinsoku w:val="0"/>
      <w:overflowPunct w:val="0"/>
      <w:spacing w:before="103"/>
      <w:ind w:left="0" w:right="-1" w:firstLine="0"/>
      <w:jc w:val="both"/>
      <w:rPr>
        <w:b/>
        <w:u w:val="single"/>
      </w:rPr>
    </w:pPr>
    <w:r w:rsidRPr="00540859">
      <w:rPr>
        <w:b/>
        <w:bCs/>
        <w:u w:val="thick"/>
      </w:rPr>
      <w:t>Minister for Employment and Industrial Relations, Minister for Racing and Minister</w:t>
    </w:r>
    <w:r w:rsidRPr="00540859">
      <w:rPr>
        <w:b/>
        <w:bCs/>
        <w:spacing w:val="-30"/>
        <w:u w:val="thick"/>
      </w:rPr>
      <w:t xml:space="preserve"> </w:t>
    </w:r>
    <w:r w:rsidRPr="00540859">
      <w:rPr>
        <w:b/>
        <w:bCs/>
        <w:u w:val="thick"/>
      </w:rPr>
      <w:t>for Multicultural</w:t>
    </w:r>
    <w:r w:rsidRPr="00540859">
      <w:rPr>
        <w:b/>
        <w:bCs/>
        <w:spacing w:val="-9"/>
        <w:u w:val="thick"/>
      </w:rPr>
      <w:t xml:space="preserve"> </w:t>
    </w:r>
    <w:r w:rsidRPr="00540859">
      <w:rPr>
        <w:b/>
        <w:bCs/>
        <w:u w:val="thick"/>
      </w:rPr>
      <w:t>Affairs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C6A9E"/>
    <w:multiLevelType w:val="hybridMultilevel"/>
    <w:tmpl w:val="FE9AE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59"/>
    <w:rsid w:val="000429B4"/>
    <w:rsid w:val="0004522D"/>
    <w:rsid w:val="00080F8F"/>
    <w:rsid w:val="0010384C"/>
    <w:rsid w:val="00136034"/>
    <w:rsid w:val="00142DF6"/>
    <w:rsid w:val="00152095"/>
    <w:rsid w:val="00153B38"/>
    <w:rsid w:val="00174117"/>
    <w:rsid w:val="001B6FD4"/>
    <w:rsid w:val="002D1FFF"/>
    <w:rsid w:val="002F483D"/>
    <w:rsid w:val="0031558C"/>
    <w:rsid w:val="003A3BDD"/>
    <w:rsid w:val="00433110"/>
    <w:rsid w:val="0043543B"/>
    <w:rsid w:val="004A6530"/>
    <w:rsid w:val="00501C66"/>
    <w:rsid w:val="00540859"/>
    <w:rsid w:val="00550873"/>
    <w:rsid w:val="00562CC9"/>
    <w:rsid w:val="005C39D4"/>
    <w:rsid w:val="00604407"/>
    <w:rsid w:val="006B19E4"/>
    <w:rsid w:val="007265D0"/>
    <w:rsid w:val="0072767D"/>
    <w:rsid w:val="00732E22"/>
    <w:rsid w:val="00741C20"/>
    <w:rsid w:val="00776DBD"/>
    <w:rsid w:val="007916D6"/>
    <w:rsid w:val="0079665F"/>
    <w:rsid w:val="007A308B"/>
    <w:rsid w:val="007F44F4"/>
    <w:rsid w:val="00877238"/>
    <w:rsid w:val="008C75C5"/>
    <w:rsid w:val="00904077"/>
    <w:rsid w:val="00937A4A"/>
    <w:rsid w:val="00940221"/>
    <w:rsid w:val="009858E3"/>
    <w:rsid w:val="009F063C"/>
    <w:rsid w:val="00A12FFC"/>
    <w:rsid w:val="00B168F7"/>
    <w:rsid w:val="00B95A06"/>
    <w:rsid w:val="00C0408C"/>
    <w:rsid w:val="00C536DB"/>
    <w:rsid w:val="00C75E67"/>
    <w:rsid w:val="00CB1501"/>
    <w:rsid w:val="00CD7A50"/>
    <w:rsid w:val="00CF0D8A"/>
    <w:rsid w:val="00CF27CF"/>
    <w:rsid w:val="00D0370B"/>
    <w:rsid w:val="00D6589B"/>
    <w:rsid w:val="00E22A38"/>
    <w:rsid w:val="00EA7EA3"/>
    <w:rsid w:val="00F24A8A"/>
    <w:rsid w:val="00F45B99"/>
    <w:rsid w:val="00F94D48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40859"/>
    <w:pPr>
      <w:widowControl w:val="0"/>
      <w:autoSpaceDE w:val="0"/>
      <w:autoSpaceDN w:val="0"/>
      <w:adjustRightInd w:val="0"/>
      <w:ind w:left="702" w:hanging="360"/>
    </w:pPr>
    <w:rPr>
      <w:rFonts w:ascii="Arial" w:hAnsi="Arial" w:cs="Arial"/>
      <w:color w:val="auto"/>
      <w:sz w:val="22"/>
      <w:szCs w:val="22"/>
    </w:rPr>
  </w:style>
  <w:style w:type="character" w:customStyle="1" w:styleId="BodyTextChar">
    <w:name w:val="Body Text Char"/>
    <w:link w:val="BodyText"/>
    <w:uiPriority w:val="1"/>
    <w:rsid w:val="00540859"/>
    <w:rPr>
      <w:rFonts w:ascii="Arial" w:eastAsia="Times New Roman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77238"/>
    <w:pPr>
      <w:ind w:left="720"/>
      <w:contextualSpacing/>
    </w:pPr>
  </w:style>
  <w:style w:type="character" w:styleId="Hyperlink">
    <w:name w:val="Hyperlink"/>
    <w:uiPriority w:val="99"/>
    <w:unhideWhenUsed/>
    <w:rsid w:val="009F06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Protocol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QTTSignificantMatter xmlns="72d8744d-2c47-46f4-9bdd-407e14137c3c">false</QTTSignificantMatter>
    <Nexus_ReadOnly xmlns="72d8744d-2c47-46f4-9bdd-407e14137c3c" xsi:nil="true"/>
    <Nexus_MetadataSummary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6" ma:contentTypeDescription="QTT document content type to be used in active sites" ma:contentTypeScope="" ma:versionID="a2fe581874879caa9ab4a09435322399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fa11a1c764b0ce9f8cb4388751eb2fb2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TTSignifican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TTSignificantMatter" ma:index="1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2AE6CA-9E66-4525-9C16-6A3F3A953E24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B92AAC-FA4A-4DD7-AA6B-ABCA1FCD8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C0C71-30DF-4DC8-A08D-CE73D3D184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190</Words>
  <Characters>1104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1288</CharactersWithSpaces>
  <SharedDoc>false</SharedDoc>
  <HyperlinkBase>https://www.cabinet.qld.gov.au/documents/2016/Jul/ILO29/</HyperlinkBase>
  <HLinks>
    <vt:vector size="6" baseType="variant"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Attachments/Protocol.pdf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2017-02-08T06:33:00Z</cp:lastPrinted>
  <dcterms:created xsi:type="dcterms:W3CDTF">2017-10-25T01:49:00Z</dcterms:created>
  <dcterms:modified xsi:type="dcterms:W3CDTF">2018-03-06T01:35:00Z</dcterms:modified>
  <cp:category>Employment,Intergovernmental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0x010100C7BD08439FA548A39DD6F4EEA9A4DD920028A0CA45A385418C914557FFC286F13E004EB8CA558F2C6042A832EDA2471880AF</vt:lpwstr>
  </property>
  <property fmtid="{D5CDD505-2E9C-101B-9397-08002B2CF9AE}" pid="3" name="Document Type">
    <vt:lpwstr>Cabinet Submission</vt:lpwstr>
  </property>
  <property fmtid="{D5CDD505-2E9C-101B-9397-08002B2CF9AE}" pid="4" name="_NewReviewCycle">
    <vt:lpwstr/>
  </property>
  <property fmtid="{D5CDD505-2E9C-101B-9397-08002B2CF9AE}" pid="5" name="RecordPoint_RecordNumberSubmitted">
    <vt:lpwstr>R0000374079</vt:lpwstr>
  </property>
  <property fmtid="{D5CDD505-2E9C-101B-9397-08002B2CF9AE}" pid="6" name="RecordPoint_ActiveItemWebId">
    <vt:lpwstr>{91bdefb8-0d65-4ccd-aa84-73bfa87f031c}</vt:lpwstr>
  </property>
  <property fmtid="{D5CDD505-2E9C-101B-9397-08002B2CF9AE}" pid="7" name="RecordPoint_WorkflowType">
    <vt:lpwstr>ActiveSubmitStub</vt:lpwstr>
  </property>
  <property fmtid="{D5CDD505-2E9C-101B-9397-08002B2CF9AE}" pid="8" name="_dlc_DocIdItemGuid">
    <vt:lpwstr>d4fd0b1b-5470-4574-99c2-e0dae6df3133</vt:lpwstr>
  </property>
  <property fmtid="{D5CDD505-2E9C-101B-9397-08002B2CF9AE}" pid="9" name="RecordPoint_ActiveItemSiteId">
    <vt:lpwstr>{f29e4956-d8cc-4968-b023-b21d1091687a}</vt:lpwstr>
  </property>
  <property fmtid="{D5CDD505-2E9C-101B-9397-08002B2CF9AE}" pid="10" name="RecordPoint_ActiveItemListId">
    <vt:lpwstr>{95ee723f-7e30-47a4-b556-fd4bfa065a81}</vt:lpwstr>
  </property>
  <property fmtid="{D5CDD505-2E9C-101B-9397-08002B2CF9AE}" pid="11" name="RecordPoint_ActiveItemUniqueId">
    <vt:lpwstr>{d4fd0b1b-5470-4574-99c2-e0dae6df3133}</vt:lpwstr>
  </property>
  <property fmtid="{D5CDD505-2E9C-101B-9397-08002B2CF9AE}" pid="12" name="RecordPoint_SubmissionCompleted">
    <vt:lpwstr>2017-02-08T19:14:22.4657008+10:00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_dlc_DocId">
    <vt:lpwstr>BUSNCLLO-74-70</vt:lpwstr>
  </property>
  <property fmtid="{D5CDD505-2E9C-101B-9397-08002B2CF9AE}" pid="18" name="_dlc_DocIdUrl">
    <vt:lpwstr>https://nexus.treasury.qld.gov.au/business/cabinet-services/dpc-reporting/_layouts/15/DocIdRedir.aspx?ID=BUSNCLLO-74-70, BUSNCLLO-74-70</vt:lpwstr>
  </property>
</Properties>
</file>